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DE4437" w:rsidRPr="000309E1" w:rsidRDefault="00044E3E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309E1">
        <w:rPr>
          <w:rFonts w:ascii="Arial" w:hAnsi="Arial" w:cs="Arial"/>
          <w:b/>
        </w:rPr>
        <w:t>EL PRESIDENTE DE LA REPÚBLICA</w:t>
      </w:r>
    </w:p>
    <w:p w:rsidR="00C81B67" w:rsidRDefault="00044E3E" w:rsidP="00C81B67">
      <w:pPr>
        <w:spacing w:after="0" w:line="240" w:lineRule="auto"/>
        <w:jc w:val="both"/>
        <w:rPr>
          <w:rFonts w:ascii="Arial" w:hAnsi="Arial" w:cs="Arial"/>
          <w:b/>
        </w:rPr>
      </w:pPr>
      <w:r w:rsidRPr="000309E1">
        <w:rPr>
          <w:rFonts w:ascii="Arial" w:hAnsi="Arial" w:cs="Arial"/>
          <w:b/>
        </w:rPr>
        <w:tab/>
      </w:r>
    </w:p>
    <w:p w:rsidR="00DE4437" w:rsidRPr="000309E1" w:rsidRDefault="00044E3E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309E1">
        <w:rPr>
          <w:rFonts w:ascii="Arial" w:hAnsi="Arial" w:cs="Arial"/>
          <w:b/>
        </w:rPr>
        <w:t>CONSIDERANDO:</w:t>
      </w:r>
    </w:p>
    <w:p w:rsidR="00C81B67" w:rsidRDefault="00DE4437" w:rsidP="00C81B67">
      <w:pPr>
        <w:spacing w:after="0" w:line="240" w:lineRule="auto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ab/>
      </w:r>
    </w:p>
    <w:p w:rsidR="00DE4437" w:rsidRPr="000309E1" w:rsidRDefault="00DE443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 xml:space="preserve">Que, </w:t>
      </w:r>
      <w:r w:rsidR="00044E3E" w:rsidRPr="000309E1">
        <w:rPr>
          <w:rFonts w:ascii="Arial" w:hAnsi="Arial" w:cs="Arial"/>
        </w:rPr>
        <w:t xml:space="preserve">de conformidad con </w:t>
      </w:r>
      <w:r w:rsidRPr="000309E1">
        <w:rPr>
          <w:rFonts w:ascii="Arial" w:hAnsi="Arial" w:cs="Arial"/>
        </w:rPr>
        <w:t xml:space="preserve">el artículo 43 del Texto Único Ordenado de la Ley General de Minería, </w:t>
      </w:r>
      <w:r w:rsidR="00F12E0D" w:rsidRPr="000309E1">
        <w:rPr>
          <w:rFonts w:ascii="Arial" w:hAnsi="Arial" w:cs="Arial"/>
        </w:rPr>
        <w:t xml:space="preserve">aprobado por Decreto Supremo N° 014-92-EM, </w:t>
      </w:r>
      <w:r w:rsidRPr="000309E1">
        <w:rPr>
          <w:rFonts w:ascii="Arial" w:hAnsi="Arial" w:cs="Arial"/>
        </w:rPr>
        <w:t>todo concesionario que realice perforaciones dentro del territorio nacional, podrá disponer libremente hasta del cincuenta por ciento longitudinal de cada tramo de testigos y/o muestras que obtenga de sus perforaciones, estando obligado a llevar un archivo del cincuenta por ciento de las muestras y testigos restantes, que permita su fácil identifica</w:t>
      </w:r>
      <w:r w:rsidR="00F12E0D" w:rsidRPr="000309E1">
        <w:rPr>
          <w:rFonts w:ascii="Arial" w:hAnsi="Arial" w:cs="Arial"/>
        </w:rPr>
        <w:t>ción y ubicación en el terreno;</w:t>
      </w:r>
    </w:p>
    <w:p w:rsidR="00C81B67" w:rsidRDefault="00DE4437" w:rsidP="00C81B67">
      <w:pPr>
        <w:spacing w:after="0" w:line="240" w:lineRule="auto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ab/>
      </w:r>
    </w:p>
    <w:p w:rsidR="00DE4437" w:rsidRPr="000309E1" w:rsidRDefault="00DE443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>Que, el artículo 71 del Reglamento de Diversos Títulos del Texto Único Ordenado de la Ley General de Minería, aprobado por Decreto Supremo Nº 03-94-EM,</w:t>
      </w:r>
      <w:r w:rsidR="00352AEB">
        <w:rPr>
          <w:rFonts w:ascii="Arial" w:hAnsi="Arial" w:cs="Arial"/>
        </w:rPr>
        <w:t xml:space="preserve"> modificado mediante </w:t>
      </w:r>
      <w:r w:rsidR="00F12E0D" w:rsidRPr="000309E1">
        <w:rPr>
          <w:rFonts w:ascii="Arial" w:hAnsi="Arial" w:cs="Arial"/>
        </w:rPr>
        <w:t xml:space="preserve">Decreto Supremo N° 010-2013-EM, </w:t>
      </w:r>
      <w:r w:rsidR="00251122" w:rsidRPr="000309E1">
        <w:rPr>
          <w:rFonts w:ascii="Arial" w:hAnsi="Arial" w:cs="Arial"/>
        </w:rPr>
        <w:t>establec</w:t>
      </w:r>
      <w:r w:rsidR="00352AEB">
        <w:rPr>
          <w:rFonts w:ascii="Arial" w:hAnsi="Arial" w:cs="Arial"/>
        </w:rPr>
        <w:t>e</w:t>
      </w:r>
      <w:r w:rsidR="00251122" w:rsidRPr="000309E1">
        <w:rPr>
          <w:rFonts w:ascii="Arial" w:hAnsi="Arial" w:cs="Arial"/>
        </w:rPr>
        <w:t xml:space="preserve"> que el</w:t>
      </w:r>
      <w:r w:rsidR="00B9492A" w:rsidRPr="000309E1">
        <w:rPr>
          <w:rFonts w:ascii="Arial" w:hAnsi="Arial" w:cs="Arial"/>
        </w:rPr>
        <w:t xml:space="preserve"> archivo</w:t>
      </w:r>
      <w:r w:rsidR="00352AEB">
        <w:rPr>
          <w:rFonts w:ascii="Arial" w:hAnsi="Arial" w:cs="Arial"/>
        </w:rPr>
        <w:t xml:space="preserve"> de muestreos y/o testigos, </w:t>
      </w:r>
      <w:r w:rsidR="00754233">
        <w:rPr>
          <w:rFonts w:ascii="Arial" w:hAnsi="Arial" w:cs="Arial"/>
        </w:rPr>
        <w:t>se llevará en las actividades de exploración, propiamente dichas y en las actividades de explotación minera, cuando se requiera pr</w:t>
      </w:r>
      <w:r w:rsidR="00D91B43">
        <w:rPr>
          <w:rFonts w:ascii="Arial" w:hAnsi="Arial" w:cs="Arial"/>
        </w:rPr>
        <w:t>o</w:t>
      </w:r>
      <w:r w:rsidR="00754233">
        <w:rPr>
          <w:rFonts w:ascii="Arial" w:hAnsi="Arial" w:cs="Arial"/>
        </w:rPr>
        <w:t xml:space="preserve">longar la </w:t>
      </w:r>
      <w:r w:rsidR="00D91B43">
        <w:rPr>
          <w:rFonts w:ascii="Arial" w:hAnsi="Arial" w:cs="Arial"/>
        </w:rPr>
        <w:t>vida</w:t>
      </w:r>
      <w:r w:rsidR="00727954">
        <w:rPr>
          <w:rFonts w:ascii="Arial" w:hAnsi="Arial" w:cs="Arial"/>
        </w:rPr>
        <w:t xml:space="preserve"> y/o in</w:t>
      </w:r>
      <w:r w:rsidR="00030CEF">
        <w:rPr>
          <w:rFonts w:ascii="Arial" w:hAnsi="Arial" w:cs="Arial"/>
        </w:rPr>
        <w:t xml:space="preserve">crementar los recursos </w:t>
      </w:r>
      <w:proofErr w:type="spellStart"/>
      <w:r w:rsidR="00030CEF">
        <w:rPr>
          <w:rFonts w:ascii="Arial" w:hAnsi="Arial" w:cs="Arial"/>
        </w:rPr>
        <w:t>minables</w:t>
      </w:r>
      <w:proofErr w:type="spellEnd"/>
      <w:r w:rsidR="00030CEF">
        <w:rPr>
          <w:rFonts w:ascii="Arial" w:hAnsi="Arial" w:cs="Arial"/>
        </w:rPr>
        <w:t xml:space="preserve"> y debe contener</w:t>
      </w:r>
      <w:r w:rsidR="00B9492A" w:rsidRPr="000309E1">
        <w:rPr>
          <w:rFonts w:ascii="Arial" w:hAnsi="Arial" w:cs="Arial"/>
        </w:rPr>
        <w:t xml:space="preserve"> los datos y la información que</w:t>
      </w:r>
      <w:r w:rsidR="00030CEF">
        <w:rPr>
          <w:rFonts w:ascii="Arial" w:hAnsi="Arial" w:cs="Arial"/>
        </w:rPr>
        <w:t xml:space="preserve"> objetivamente permita identificar sus componentes, ubicación del lugar donde fueron obtenidos, así como del entorno geológico donde </w:t>
      </w:r>
      <w:r w:rsidR="00424318">
        <w:rPr>
          <w:rFonts w:ascii="Arial" w:hAnsi="Arial" w:cs="Arial"/>
        </w:rPr>
        <w:t>se realizaron las perforaciones</w:t>
      </w:r>
      <w:r w:rsidR="00191EFE" w:rsidRPr="000309E1">
        <w:rPr>
          <w:rFonts w:ascii="Arial" w:hAnsi="Arial" w:cs="Arial"/>
        </w:rPr>
        <w:t>,</w:t>
      </w:r>
      <w:r w:rsidR="00424318">
        <w:rPr>
          <w:rFonts w:ascii="Arial" w:hAnsi="Arial" w:cs="Arial"/>
        </w:rPr>
        <w:t xml:space="preserve"> disponiéndose además</w:t>
      </w:r>
      <w:r w:rsidR="00251122" w:rsidRPr="000309E1">
        <w:rPr>
          <w:rFonts w:ascii="Arial" w:hAnsi="Arial" w:cs="Arial"/>
        </w:rPr>
        <w:t xml:space="preserve"> que la </w:t>
      </w:r>
      <w:r w:rsidR="00352AEB">
        <w:rPr>
          <w:rFonts w:ascii="Arial" w:hAnsi="Arial" w:cs="Arial"/>
        </w:rPr>
        <w:t xml:space="preserve">información correspondiente debe ser puesta a disposición del Ministerio de Energía y Minas, a través de </w:t>
      </w:r>
      <w:r w:rsidR="00251122" w:rsidRPr="000309E1">
        <w:rPr>
          <w:rFonts w:ascii="Arial" w:hAnsi="Arial" w:cs="Arial"/>
        </w:rPr>
        <w:t>la Declaración Anual Consolidada (DAC);</w:t>
      </w: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50D1C" w:rsidRDefault="00977B60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 xml:space="preserve">Que, </w:t>
      </w:r>
      <w:r w:rsidR="00A50D1C">
        <w:rPr>
          <w:rFonts w:ascii="Arial" w:hAnsi="Arial" w:cs="Arial"/>
        </w:rPr>
        <w:t xml:space="preserve">el </w:t>
      </w:r>
      <w:r w:rsidR="00835701">
        <w:rPr>
          <w:rFonts w:ascii="Arial" w:hAnsi="Arial" w:cs="Arial"/>
        </w:rPr>
        <w:t xml:space="preserve">objetivo del </w:t>
      </w:r>
      <w:r w:rsidR="00A50D1C">
        <w:rPr>
          <w:rFonts w:ascii="Arial" w:hAnsi="Arial" w:cs="Arial"/>
        </w:rPr>
        <w:t xml:space="preserve">artículo 43 del </w:t>
      </w:r>
      <w:r w:rsidR="00D90AF2" w:rsidRPr="00D90AF2">
        <w:rPr>
          <w:rFonts w:ascii="Arial" w:hAnsi="Arial" w:cs="Arial"/>
        </w:rPr>
        <w:t>Texto Único Ordenado</w:t>
      </w:r>
      <w:r w:rsidR="00D90AF2" w:rsidRPr="00D90AF2" w:rsidDel="00D90AF2">
        <w:rPr>
          <w:rFonts w:ascii="Arial" w:hAnsi="Arial" w:cs="Arial"/>
        </w:rPr>
        <w:t xml:space="preserve"> </w:t>
      </w:r>
      <w:r w:rsidR="00A50D1C">
        <w:rPr>
          <w:rFonts w:ascii="Arial" w:hAnsi="Arial" w:cs="Arial"/>
        </w:rPr>
        <w:t>de la Ley General de Minería e</w:t>
      </w:r>
      <w:r w:rsidR="00835701">
        <w:rPr>
          <w:rFonts w:ascii="Arial" w:hAnsi="Arial" w:cs="Arial"/>
        </w:rPr>
        <w:t xml:space="preserve">s </w:t>
      </w:r>
      <w:r w:rsidR="0027087F">
        <w:rPr>
          <w:rFonts w:ascii="Arial" w:hAnsi="Arial" w:cs="Arial"/>
        </w:rPr>
        <w:t>o</w:t>
      </w:r>
      <w:r w:rsidR="00D90AF2">
        <w:rPr>
          <w:rFonts w:ascii="Arial" w:hAnsi="Arial" w:cs="Arial"/>
        </w:rPr>
        <w:t>bte</w:t>
      </w:r>
      <w:r w:rsidR="0027087F">
        <w:rPr>
          <w:rFonts w:ascii="Arial" w:hAnsi="Arial" w:cs="Arial"/>
        </w:rPr>
        <w:t>ner</w:t>
      </w:r>
      <w:r w:rsidR="00D90AF2">
        <w:rPr>
          <w:rFonts w:ascii="Arial" w:hAnsi="Arial" w:cs="Arial"/>
        </w:rPr>
        <w:t xml:space="preserve"> datos</w:t>
      </w:r>
      <w:r w:rsidR="00F84AFA">
        <w:rPr>
          <w:rFonts w:ascii="Arial" w:hAnsi="Arial" w:cs="Arial"/>
        </w:rPr>
        <w:t xml:space="preserve"> físicos de muestreos y</w:t>
      </w:r>
      <w:r w:rsidR="007E3146">
        <w:rPr>
          <w:rFonts w:ascii="Arial" w:hAnsi="Arial" w:cs="Arial"/>
        </w:rPr>
        <w:t>/o</w:t>
      </w:r>
      <w:r w:rsidR="00F84AFA">
        <w:rPr>
          <w:rFonts w:ascii="Arial" w:hAnsi="Arial" w:cs="Arial"/>
        </w:rPr>
        <w:t xml:space="preserve"> </w:t>
      </w:r>
      <w:r w:rsidR="0027087F">
        <w:rPr>
          <w:rFonts w:ascii="Arial" w:hAnsi="Arial" w:cs="Arial"/>
        </w:rPr>
        <w:t>testigos relativos</w:t>
      </w:r>
      <w:r w:rsidR="00D90AF2">
        <w:rPr>
          <w:rFonts w:ascii="Arial" w:hAnsi="Arial" w:cs="Arial"/>
        </w:rPr>
        <w:t xml:space="preserve"> a la </w:t>
      </w:r>
      <w:r w:rsidR="009A4C8B">
        <w:rPr>
          <w:rFonts w:ascii="Arial" w:hAnsi="Arial" w:cs="Arial"/>
        </w:rPr>
        <w:t>etapa</w:t>
      </w:r>
      <w:r w:rsidR="006C5E74">
        <w:rPr>
          <w:rFonts w:ascii="Arial" w:hAnsi="Arial" w:cs="Arial"/>
        </w:rPr>
        <w:t xml:space="preserve"> </w:t>
      </w:r>
      <w:r w:rsidR="00D90AF2">
        <w:rPr>
          <w:rFonts w:ascii="Arial" w:hAnsi="Arial" w:cs="Arial"/>
        </w:rPr>
        <w:t>de exploración</w:t>
      </w:r>
      <w:r w:rsidR="00F84AFA">
        <w:rPr>
          <w:rFonts w:ascii="Arial" w:hAnsi="Arial" w:cs="Arial"/>
        </w:rPr>
        <w:t>,</w:t>
      </w:r>
      <w:r w:rsidR="009A4C8B">
        <w:rPr>
          <w:rFonts w:ascii="Arial" w:hAnsi="Arial" w:cs="Arial"/>
        </w:rPr>
        <w:t xml:space="preserve"> </w:t>
      </w:r>
      <w:r w:rsidR="0027087F">
        <w:rPr>
          <w:rFonts w:ascii="Arial" w:hAnsi="Arial" w:cs="Arial"/>
        </w:rPr>
        <w:t>debiendo ser</w:t>
      </w:r>
      <w:r w:rsidR="00D90AF2">
        <w:rPr>
          <w:rFonts w:ascii="Arial" w:hAnsi="Arial" w:cs="Arial"/>
        </w:rPr>
        <w:t xml:space="preserve"> </w:t>
      </w:r>
      <w:r w:rsidR="00F84AFA">
        <w:rPr>
          <w:rFonts w:ascii="Arial" w:hAnsi="Arial" w:cs="Arial"/>
        </w:rPr>
        <w:t>conservad</w:t>
      </w:r>
      <w:r w:rsidR="0027087F">
        <w:rPr>
          <w:rFonts w:ascii="Arial" w:hAnsi="Arial" w:cs="Arial"/>
        </w:rPr>
        <w:t>o y acompañado</w:t>
      </w:r>
      <w:r w:rsidR="00D90AF2">
        <w:rPr>
          <w:rFonts w:ascii="Arial" w:hAnsi="Arial" w:cs="Arial"/>
        </w:rPr>
        <w:t xml:space="preserve"> de la información </w:t>
      </w:r>
      <w:r w:rsidR="00E856D6">
        <w:rPr>
          <w:rFonts w:ascii="Arial" w:hAnsi="Arial" w:cs="Arial"/>
        </w:rPr>
        <w:t xml:space="preserve">técnica que </w:t>
      </w:r>
      <w:r w:rsidR="0027087F">
        <w:rPr>
          <w:rFonts w:ascii="Arial" w:hAnsi="Arial" w:cs="Arial"/>
        </w:rPr>
        <w:t>permita su identificación</w:t>
      </w:r>
      <w:r w:rsidR="00E856D6">
        <w:rPr>
          <w:rFonts w:ascii="Arial" w:hAnsi="Arial" w:cs="Arial"/>
        </w:rPr>
        <w:t>;</w:t>
      </w:r>
      <w:r w:rsidR="00D90AF2">
        <w:rPr>
          <w:rFonts w:ascii="Arial" w:hAnsi="Arial" w:cs="Arial"/>
        </w:rPr>
        <w:t xml:space="preserve"> </w:t>
      </w: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snapToGrid w:val="0"/>
        </w:rPr>
      </w:pPr>
    </w:p>
    <w:p w:rsidR="009A4C8B" w:rsidRDefault="007D721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Que, </w:t>
      </w:r>
      <w:r w:rsidR="009A4C8B">
        <w:rPr>
          <w:rFonts w:ascii="Arial" w:hAnsi="Arial" w:cs="Arial"/>
          <w:snapToGrid w:val="0"/>
        </w:rPr>
        <w:t xml:space="preserve">por lo tanto, </w:t>
      </w:r>
      <w:r w:rsidR="00DD6A24">
        <w:rPr>
          <w:rFonts w:ascii="Arial" w:hAnsi="Arial" w:cs="Arial"/>
          <w:snapToGrid w:val="0"/>
        </w:rPr>
        <w:t xml:space="preserve">la obligación de llevar archivos </w:t>
      </w:r>
      <w:r w:rsidR="00F84AFA">
        <w:rPr>
          <w:rFonts w:ascii="Arial" w:hAnsi="Arial" w:cs="Arial"/>
          <w:snapToGrid w:val="0"/>
        </w:rPr>
        <w:t xml:space="preserve">de </w:t>
      </w:r>
      <w:r w:rsidR="007E3146">
        <w:rPr>
          <w:rFonts w:ascii="Arial" w:hAnsi="Arial" w:cs="Arial"/>
          <w:snapToGrid w:val="0"/>
        </w:rPr>
        <w:t xml:space="preserve">muestreos y/o </w:t>
      </w:r>
      <w:r w:rsidR="00F84AFA">
        <w:rPr>
          <w:rFonts w:ascii="Arial" w:hAnsi="Arial" w:cs="Arial"/>
          <w:snapToGrid w:val="0"/>
        </w:rPr>
        <w:t xml:space="preserve">testigos </w:t>
      </w:r>
      <w:r w:rsidR="009A4C8B">
        <w:rPr>
          <w:rFonts w:ascii="Arial" w:hAnsi="Arial" w:cs="Arial"/>
          <w:snapToGrid w:val="0"/>
        </w:rPr>
        <w:t>debe darse</w:t>
      </w:r>
      <w:r w:rsidR="00DD6A24">
        <w:rPr>
          <w:rFonts w:ascii="Arial" w:hAnsi="Arial" w:cs="Arial"/>
          <w:snapToGrid w:val="0"/>
        </w:rPr>
        <w:t xml:space="preserve"> </w:t>
      </w:r>
      <w:r w:rsidR="005619D6">
        <w:rPr>
          <w:rFonts w:ascii="Arial" w:hAnsi="Arial" w:cs="Arial"/>
          <w:snapToGrid w:val="0"/>
        </w:rPr>
        <w:t xml:space="preserve">sólo </w:t>
      </w:r>
      <w:r w:rsidR="00DD6A24">
        <w:rPr>
          <w:rFonts w:ascii="Arial" w:hAnsi="Arial" w:cs="Arial"/>
          <w:snapToGrid w:val="0"/>
        </w:rPr>
        <w:t xml:space="preserve">en </w:t>
      </w:r>
      <w:r w:rsidR="00A11F39">
        <w:rPr>
          <w:rFonts w:ascii="Arial" w:hAnsi="Arial" w:cs="Arial"/>
          <w:snapToGrid w:val="0"/>
        </w:rPr>
        <w:t>la etapa</w:t>
      </w:r>
      <w:r w:rsidR="00835701">
        <w:rPr>
          <w:rFonts w:ascii="Arial" w:hAnsi="Arial" w:cs="Arial"/>
          <w:snapToGrid w:val="0"/>
        </w:rPr>
        <w:t xml:space="preserve"> de exploración</w:t>
      </w:r>
      <w:r w:rsidR="009A4C8B">
        <w:rPr>
          <w:rFonts w:ascii="Arial" w:hAnsi="Arial" w:cs="Arial"/>
          <w:snapToGrid w:val="0"/>
        </w:rPr>
        <w:t xml:space="preserve"> </w:t>
      </w:r>
      <w:r w:rsidR="0027087F">
        <w:rPr>
          <w:rFonts w:ascii="Arial" w:hAnsi="Arial" w:cs="Arial"/>
          <w:snapToGrid w:val="0"/>
        </w:rPr>
        <w:t>y no en aqué</w:t>
      </w:r>
      <w:r w:rsidR="009A4C8B">
        <w:rPr>
          <w:rFonts w:ascii="Arial" w:hAnsi="Arial" w:cs="Arial"/>
          <w:snapToGrid w:val="0"/>
        </w:rPr>
        <w:t xml:space="preserve">llas </w:t>
      </w:r>
      <w:r w:rsidR="009A4C8B">
        <w:rPr>
          <w:rFonts w:ascii="Arial" w:hAnsi="Arial" w:cs="Arial"/>
        </w:rPr>
        <w:t xml:space="preserve">que se realicen durante </w:t>
      </w:r>
      <w:r w:rsidR="009A4C8B" w:rsidRPr="004304AC">
        <w:rPr>
          <w:rFonts w:ascii="Arial" w:hAnsi="Arial" w:cs="Arial"/>
        </w:rPr>
        <w:t>las ac</w:t>
      </w:r>
      <w:r w:rsidR="009A4C8B">
        <w:rPr>
          <w:rFonts w:ascii="Arial" w:hAnsi="Arial" w:cs="Arial"/>
        </w:rPr>
        <w:t xml:space="preserve">tividades de explotación minera, para prolongar la vida útil de la mina y/o incrementar los recursos </w:t>
      </w:r>
      <w:proofErr w:type="spellStart"/>
      <w:r w:rsidR="009A4C8B">
        <w:rPr>
          <w:rFonts w:ascii="Arial" w:hAnsi="Arial" w:cs="Arial"/>
        </w:rPr>
        <w:t>minables</w:t>
      </w:r>
      <w:proofErr w:type="spellEnd"/>
      <w:r w:rsidR="007A1D22">
        <w:rPr>
          <w:rFonts w:ascii="Arial" w:hAnsi="Arial" w:cs="Arial"/>
        </w:rPr>
        <w:t xml:space="preserve">, </w:t>
      </w:r>
      <w:r w:rsidR="0027087F">
        <w:rPr>
          <w:rFonts w:ascii="Arial" w:hAnsi="Arial" w:cs="Arial"/>
        </w:rPr>
        <w:t>teniendo en cuenta que</w:t>
      </w:r>
      <w:r w:rsidR="009A4C8B">
        <w:rPr>
          <w:rFonts w:ascii="Arial" w:hAnsi="Arial" w:cs="Arial"/>
        </w:rPr>
        <w:t xml:space="preserve"> dichas áreas </w:t>
      </w:r>
      <w:r w:rsidR="0027087F">
        <w:rPr>
          <w:rFonts w:ascii="Arial" w:hAnsi="Arial" w:cs="Arial"/>
        </w:rPr>
        <w:t xml:space="preserve">ya </w:t>
      </w:r>
      <w:r w:rsidR="009A4C8B">
        <w:rPr>
          <w:rFonts w:ascii="Arial" w:hAnsi="Arial" w:cs="Arial"/>
        </w:rPr>
        <w:t>han sido estudiadas y la autoridad cuenta con la información, siendo</w:t>
      </w:r>
      <w:r w:rsidR="009A4C8B">
        <w:rPr>
          <w:rFonts w:ascii="Arial" w:hAnsi="Arial" w:cs="Arial"/>
          <w:snapToGrid w:val="0"/>
        </w:rPr>
        <w:t xml:space="preserve"> necesario </w:t>
      </w:r>
      <w:r w:rsidR="009A4C8B" w:rsidRPr="00CD62CE">
        <w:rPr>
          <w:rFonts w:ascii="Arial" w:hAnsi="Arial" w:cs="Arial"/>
          <w:snapToGrid w:val="0"/>
        </w:rPr>
        <w:t>derogar</w:t>
      </w:r>
      <w:r w:rsidR="009A4C8B">
        <w:rPr>
          <w:rFonts w:ascii="Arial" w:hAnsi="Arial" w:cs="Arial"/>
          <w:snapToGrid w:val="0"/>
        </w:rPr>
        <w:t xml:space="preserve"> el Decreto Supremo N° 010-2013-EM</w:t>
      </w:r>
      <w:r w:rsidR="00C81B67">
        <w:rPr>
          <w:rFonts w:ascii="Arial" w:hAnsi="Arial" w:cs="Arial"/>
          <w:snapToGrid w:val="0"/>
        </w:rPr>
        <w:t xml:space="preserve"> y emitir un nuevo dispositivo legal que así lo regule</w:t>
      </w:r>
      <w:r w:rsidR="009A4C8B">
        <w:rPr>
          <w:rFonts w:ascii="Arial" w:hAnsi="Arial" w:cs="Arial"/>
          <w:snapToGrid w:val="0"/>
        </w:rPr>
        <w:t>;</w:t>
      </w:r>
    </w:p>
    <w:p w:rsidR="007D7217" w:rsidRPr="000309E1" w:rsidRDefault="007D7217" w:rsidP="00C81B67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D7217" w:rsidRDefault="00516E55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Que, </w:t>
      </w:r>
      <w:r w:rsidR="007A1D22">
        <w:rPr>
          <w:rFonts w:ascii="Arial" w:hAnsi="Arial" w:cs="Arial"/>
          <w:snapToGrid w:val="0"/>
        </w:rPr>
        <w:t xml:space="preserve">por otro lado, resulta necesario que los titulares de las concesiones mineras que se extingan presenten toda la información de muestreos y/o testigos realizados, </w:t>
      </w:r>
      <w:r w:rsidR="007A1D22" w:rsidRPr="000421A8">
        <w:rPr>
          <w:rFonts w:ascii="Arial" w:hAnsi="Arial" w:cs="Arial"/>
        </w:rPr>
        <w:t>incluyendo mineralización y ley</w:t>
      </w:r>
      <w:r w:rsidR="007A1D22">
        <w:rPr>
          <w:rFonts w:ascii="Arial" w:hAnsi="Arial" w:cs="Arial"/>
        </w:rPr>
        <w:t xml:space="preserve">es por tramos de la perforación, con la finalidad </w:t>
      </w:r>
      <w:r w:rsidR="002177D7">
        <w:rPr>
          <w:rFonts w:ascii="Arial" w:hAnsi="Arial" w:cs="Arial"/>
          <w:snapToGrid w:val="0"/>
        </w:rPr>
        <w:t xml:space="preserve">de enriquecer la </w:t>
      </w:r>
      <w:r w:rsidR="007A1D22">
        <w:rPr>
          <w:rFonts w:ascii="Arial" w:hAnsi="Arial" w:cs="Arial"/>
        </w:rPr>
        <w:t>Carta Geológica Nacional;</w:t>
      </w:r>
    </w:p>
    <w:p w:rsidR="00336E13" w:rsidRDefault="00DE443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lastRenderedPageBreak/>
        <w:t>De conformidad con el numeral 8 del artículo 118 de la Constitución Política del Perú</w:t>
      </w:r>
      <w:r w:rsidR="006C5E74" w:rsidRPr="006C5E74">
        <w:t xml:space="preserve"> </w:t>
      </w:r>
      <w:r w:rsidR="006C5E74" w:rsidRPr="006C5E74">
        <w:rPr>
          <w:rFonts w:ascii="Arial" w:hAnsi="Arial" w:cs="Arial"/>
        </w:rPr>
        <w:t>y el numeral 3 del artículo 11 de la Ley N° 29158, Ley Orgánica del Poder Ejecutivo;</w:t>
      </w:r>
    </w:p>
    <w:p w:rsidR="00C81B67" w:rsidRDefault="00DE4437" w:rsidP="00C81B67">
      <w:pPr>
        <w:spacing w:after="0" w:line="240" w:lineRule="auto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ab/>
      </w:r>
    </w:p>
    <w:p w:rsidR="00336E13" w:rsidRDefault="00DE443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309E1">
        <w:rPr>
          <w:rFonts w:ascii="Arial" w:hAnsi="Arial" w:cs="Arial"/>
          <w:b/>
        </w:rPr>
        <w:t>DECRETA:</w:t>
      </w: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792080" w:rsidRDefault="00DE4437" w:rsidP="00C81B67">
      <w:pPr>
        <w:spacing w:after="0" w:line="240" w:lineRule="auto"/>
        <w:jc w:val="both"/>
        <w:rPr>
          <w:rFonts w:ascii="Arial" w:hAnsi="Arial" w:cs="Arial"/>
          <w:b/>
        </w:rPr>
      </w:pPr>
      <w:r w:rsidRPr="000309E1">
        <w:rPr>
          <w:rFonts w:ascii="Arial" w:hAnsi="Arial" w:cs="Arial"/>
        </w:rPr>
        <w:tab/>
      </w:r>
      <w:r w:rsidR="00C84CA6" w:rsidRPr="006C5E74">
        <w:rPr>
          <w:rFonts w:ascii="Arial" w:hAnsi="Arial" w:cs="Arial"/>
          <w:b/>
          <w:u w:val="single"/>
        </w:rPr>
        <w:t>Artículo</w:t>
      </w:r>
      <w:r w:rsidR="00336E13" w:rsidRPr="006C5E74">
        <w:rPr>
          <w:rFonts w:ascii="Arial" w:hAnsi="Arial" w:cs="Arial"/>
          <w:b/>
          <w:u w:val="single"/>
        </w:rPr>
        <w:t xml:space="preserve"> 1</w:t>
      </w:r>
      <w:r w:rsidR="00C84CA6" w:rsidRPr="000309E1">
        <w:rPr>
          <w:rFonts w:ascii="Arial" w:hAnsi="Arial" w:cs="Arial"/>
          <w:b/>
        </w:rPr>
        <w:t xml:space="preserve">.- </w:t>
      </w:r>
      <w:r w:rsidR="00792080">
        <w:rPr>
          <w:rFonts w:ascii="Arial" w:hAnsi="Arial" w:cs="Arial"/>
          <w:b/>
        </w:rPr>
        <w:t xml:space="preserve">Modificación del </w:t>
      </w:r>
      <w:r w:rsidR="00792080" w:rsidRPr="00792080">
        <w:rPr>
          <w:rFonts w:ascii="Arial" w:hAnsi="Arial" w:cs="Arial"/>
          <w:b/>
        </w:rPr>
        <w:t>artículo 71 del Reglamento de Diversos Títulos del Texto Único Ordenado de la Ley General de Minería, aprobado por Decreto Supremo Nº 03-94-EM</w:t>
      </w:r>
    </w:p>
    <w:p w:rsidR="00C81B67" w:rsidRPr="00792080" w:rsidRDefault="00C81B67" w:rsidP="00C81B67">
      <w:pPr>
        <w:spacing w:after="0" w:line="240" w:lineRule="auto"/>
        <w:jc w:val="both"/>
        <w:rPr>
          <w:rFonts w:ascii="Arial" w:hAnsi="Arial" w:cs="Arial"/>
          <w:b/>
        </w:rPr>
      </w:pPr>
    </w:p>
    <w:p w:rsidR="00C84CA6" w:rsidRDefault="003A24D4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Modifíquese</w:t>
      </w:r>
      <w:r w:rsidR="00C84CA6" w:rsidRPr="000309E1">
        <w:rPr>
          <w:rFonts w:ascii="Arial" w:hAnsi="Arial" w:cs="Arial"/>
        </w:rPr>
        <w:t xml:space="preserve"> el artículo 71 del Reglamento de Diversos Títulos del Texto Único Ordenado de la Ley General de Minería, aprobado por Decreto Supremo Nº 03-94-EM,</w:t>
      </w:r>
      <w:r w:rsidR="008C5419">
        <w:rPr>
          <w:rFonts w:ascii="Arial" w:hAnsi="Arial" w:cs="Arial"/>
        </w:rPr>
        <w:t xml:space="preserve"> cuyo texto será el siguiente</w:t>
      </w:r>
      <w:r w:rsidR="00C84CA6" w:rsidRPr="000309E1">
        <w:rPr>
          <w:rFonts w:ascii="Arial" w:hAnsi="Arial" w:cs="Arial"/>
        </w:rPr>
        <w:t>:</w:t>
      </w:r>
    </w:p>
    <w:p w:rsidR="00C81B67" w:rsidRPr="000309E1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84CA6" w:rsidRDefault="00C84CA6" w:rsidP="00C81B6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>“Artículo 71.- Archivo de muestreos y/o testigos</w:t>
      </w:r>
    </w:p>
    <w:p w:rsidR="00C81B67" w:rsidRPr="000309E1" w:rsidRDefault="00C81B67" w:rsidP="00C81B67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E1AAE" w:rsidRDefault="00C84CA6" w:rsidP="00C81B67">
      <w:pPr>
        <w:spacing w:after="0" w:line="240" w:lineRule="auto"/>
        <w:ind w:left="2124" w:hanging="706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 xml:space="preserve">71.1. </w:t>
      </w:r>
      <w:r w:rsidRPr="000309E1">
        <w:rPr>
          <w:rFonts w:ascii="Arial" w:hAnsi="Arial" w:cs="Arial"/>
        </w:rPr>
        <w:tab/>
        <w:t xml:space="preserve">El archivo de muestreos y/o testigos a que se refiere el </w:t>
      </w:r>
      <w:r w:rsidR="00B328F1">
        <w:rPr>
          <w:rFonts w:ascii="Arial" w:hAnsi="Arial" w:cs="Arial"/>
        </w:rPr>
        <w:t>a</w:t>
      </w:r>
      <w:r w:rsidR="00A524CB">
        <w:rPr>
          <w:rFonts w:ascii="Arial" w:hAnsi="Arial" w:cs="Arial"/>
        </w:rPr>
        <w:t>rtículo 43 de la Ley se llevará</w:t>
      </w:r>
      <w:r w:rsidR="00FE5CF2">
        <w:rPr>
          <w:rFonts w:ascii="Arial" w:hAnsi="Arial" w:cs="Arial"/>
        </w:rPr>
        <w:t xml:space="preserve"> en la etapa de exploración.</w:t>
      </w:r>
      <w:r w:rsidR="007E3146">
        <w:rPr>
          <w:rFonts w:ascii="Arial" w:hAnsi="Arial" w:cs="Arial"/>
        </w:rPr>
        <w:t xml:space="preserve"> </w:t>
      </w:r>
      <w:r w:rsidR="00FE1AAE">
        <w:rPr>
          <w:rFonts w:ascii="Arial" w:hAnsi="Arial" w:cs="Arial"/>
        </w:rPr>
        <w:t xml:space="preserve"> </w:t>
      </w:r>
    </w:p>
    <w:p w:rsidR="00FE5CF2" w:rsidRDefault="007E3146" w:rsidP="00C81B67">
      <w:pPr>
        <w:spacing w:after="0" w:line="240" w:lineRule="auto"/>
        <w:ind w:left="2124"/>
        <w:jc w:val="both"/>
        <w:rPr>
          <w:rFonts w:ascii="Arial" w:hAnsi="Arial" w:cs="Arial"/>
        </w:rPr>
      </w:pPr>
      <w:r w:rsidRPr="007E3146">
        <w:rPr>
          <w:rFonts w:ascii="Arial" w:hAnsi="Arial" w:cs="Arial"/>
        </w:rPr>
        <w:t>El titular de la actividad minera tiene la obligación de llevar el archivo físico</w:t>
      </w:r>
      <w:r>
        <w:rPr>
          <w:rFonts w:ascii="Arial" w:hAnsi="Arial" w:cs="Arial"/>
        </w:rPr>
        <w:t xml:space="preserve"> </w:t>
      </w:r>
      <w:r w:rsidR="00C84CA6" w:rsidRPr="000309E1">
        <w:rPr>
          <w:rFonts w:ascii="Arial" w:hAnsi="Arial" w:cs="Arial"/>
        </w:rPr>
        <w:t>desde el inicio</w:t>
      </w:r>
      <w:r>
        <w:rPr>
          <w:rFonts w:ascii="Arial" w:hAnsi="Arial" w:cs="Arial"/>
        </w:rPr>
        <w:t xml:space="preserve"> </w:t>
      </w:r>
      <w:r w:rsidRPr="007E3146">
        <w:rPr>
          <w:rFonts w:ascii="Arial" w:hAnsi="Arial" w:cs="Arial"/>
        </w:rPr>
        <w:t xml:space="preserve">de </w:t>
      </w:r>
      <w:r w:rsidR="00FE5CF2">
        <w:rPr>
          <w:rFonts w:ascii="Arial" w:hAnsi="Arial" w:cs="Arial"/>
        </w:rPr>
        <w:t xml:space="preserve">la etapa </w:t>
      </w:r>
      <w:r w:rsidR="00A11F39">
        <w:rPr>
          <w:rFonts w:ascii="Arial" w:hAnsi="Arial" w:cs="Arial"/>
        </w:rPr>
        <w:t xml:space="preserve">de </w:t>
      </w:r>
      <w:r w:rsidRPr="007E3146">
        <w:rPr>
          <w:rFonts w:ascii="Arial" w:hAnsi="Arial" w:cs="Arial"/>
        </w:rPr>
        <w:t xml:space="preserve">exploración </w:t>
      </w:r>
      <w:r w:rsidR="00C84CA6" w:rsidRPr="000309E1">
        <w:rPr>
          <w:rFonts w:ascii="Arial" w:hAnsi="Arial" w:cs="Arial"/>
        </w:rPr>
        <w:t>hast</w:t>
      </w:r>
      <w:r w:rsidR="00BE1F41">
        <w:rPr>
          <w:rFonts w:ascii="Arial" w:hAnsi="Arial" w:cs="Arial"/>
        </w:rPr>
        <w:t xml:space="preserve">a </w:t>
      </w:r>
      <w:r w:rsidR="00E47AB0">
        <w:rPr>
          <w:rFonts w:ascii="Arial" w:hAnsi="Arial" w:cs="Arial"/>
        </w:rPr>
        <w:t xml:space="preserve">el inicio de </w:t>
      </w:r>
      <w:r w:rsidR="00697B1D">
        <w:rPr>
          <w:rFonts w:ascii="Arial" w:hAnsi="Arial" w:cs="Arial"/>
        </w:rPr>
        <w:t xml:space="preserve">la </w:t>
      </w:r>
      <w:r w:rsidR="00E47AB0">
        <w:rPr>
          <w:rFonts w:ascii="Arial" w:hAnsi="Arial" w:cs="Arial"/>
        </w:rPr>
        <w:t>etapa de producción</w:t>
      </w:r>
      <w:r w:rsidR="00697B1D">
        <w:rPr>
          <w:rFonts w:ascii="Arial" w:hAnsi="Arial" w:cs="Arial"/>
        </w:rPr>
        <w:t xml:space="preserve"> o </w:t>
      </w:r>
      <w:r w:rsidR="00FA400E">
        <w:rPr>
          <w:rFonts w:ascii="Arial" w:hAnsi="Arial" w:cs="Arial"/>
        </w:rPr>
        <w:t xml:space="preserve">hasta </w:t>
      </w:r>
      <w:r w:rsidRPr="007E3146">
        <w:rPr>
          <w:rFonts w:ascii="Arial" w:hAnsi="Arial" w:cs="Arial"/>
        </w:rPr>
        <w:t>la extinción de la concesión minera</w:t>
      </w:r>
      <w:r w:rsidR="00304AD7">
        <w:rPr>
          <w:rFonts w:ascii="Arial" w:hAnsi="Arial" w:cs="Arial"/>
        </w:rPr>
        <w:t>, lo que ocurra primero</w:t>
      </w:r>
      <w:r w:rsidR="00AD574E">
        <w:rPr>
          <w:rFonts w:ascii="Arial" w:hAnsi="Arial" w:cs="Arial"/>
        </w:rPr>
        <w:t>.</w:t>
      </w:r>
    </w:p>
    <w:p w:rsidR="00C81B67" w:rsidRDefault="00C81B67" w:rsidP="00C81B67">
      <w:pPr>
        <w:spacing w:after="0" w:line="240" w:lineRule="auto"/>
        <w:ind w:left="2124"/>
        <w:jc w:val="both"/>
        <w:rPr>
          <w:rFonts w:ascii="Arial" w:hAnsi="Arial" w:cs="Arial"/>
        </w:rPr>
      </w:pPr>
    </w:p>
    <w:p w:rsidR="00C84CA6" w:rsidRDefault="00C84CA6" w:rsidP="00C81B67">
      <w:pPr>
        <w:tabs>
          <w:tab w:val="left" w:pos="2127"/>
        </w:tabs>
        <w:spacing w:after="0" w:line="240" w:lineRule="auto"/>
        <w:ind w:left="2127" w:hanging="709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 xml:space="preserve">71.2. </w:t>
      </w:r>
      <w:r w:rsidRPr="000309E1">
        <w:rPr>
          <w:rFonts w:ascii="Arial" w:hAnsi="Arial" w:cs="Arial"/>
        </w:rPr>
        <w:tab/>
      </w:r>
      <w:r w:rsidR="00B2606A">
        <w:rPr>
          <w:rFonts w:ascii="Arial" w:hAnsi="Arial" w:cs="Arial"/>
        </w:rPr>
        <w:t>El archiv</w:t>
      </w:r>
      <w:r w:rsidR="00B6357A">
        <w:rPr>
          <w:rFonts w:ascii="Arial" w:hAnsi="Arial" w:cs="Arial"/>
        </w:rPr>
        <w:t>o</w:t>
      </w:r>
      <w:r w:rsidR="00AA5E25">
        <w:rPr>
          <w:rFonts w:ascii="Arial" w:hAnsi="Arial" w:cs="Arial"/>
        </w:rPr>
        <w:t xml:space="preserve"> </w:t>
      </w:r>
      <w:r w:rsidR="00905F24">
        <w:rPr>
          <w:rFonts w:ascii="Arial" w:hAnsi="Arial" w:cs="Arial"/>
        </w:rPr>
        <w:t>de muestreos y/o testigos deberá</w:t>
      </w:r>
      <w:r w:rsidR="00D2772D">
        <w:rPr>
          <w:rFonts w:ascii="Arial" w:hAnsi="Arial" w:cs="Arial"/>
        </w:rPr>
        <w:t xml:space="preserve"> contener la siguiente información: </w:t>
      </w:r>
    </w:p>
    <w:p w:rsidR="00C81B67" w:rsidRPr="000309E1" w:rsidRDefault="00C81B67" w:rsidP="00C81B67">
      <w:pPr>
        <w:tabs>
          <w:tab w:val="left" w:pos="2127"/>
        </w:tabs>
        <w:spacing w:after="0" w:line="240" w:lineRule="auto"/>
        <w:ind w:left="2127" w:hanging="709"/>
        <w:jc w:val="both"/>
        <w:rPr>
          <w:rFonts w:ascii="Arial" w:hAnsi="Arial" w:cs="Arial"/>
        </w:rPr>
      </w:pPr>
    </w:p>
    <w:p w:rsidR="00C84CA6" w:rsidRPr="000309E1" w:rsidRDefault="00C84CA6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 xml:space="preserve">1. </w:t>
      </w:r>
      <w:r w:rsidRPr="000309E1">
        <w:rPr>
          <w:rFonts w:ascii="Arial" w:hAnsi="Arial" w:cs="Arial"/>
        </w:rPr>
        <w:tab/>
      </w:r>
      <w:r w:rsidR="00682392">
        <w:rPr>
          <w:rFonts w:ascii="Arial" w:hAnsi="Arial" w:cs="Arial"/>
        </w:rPr>
        <w:t xml:space="preserve">Concesión minera: </w:t>
      </w:r>
      <w:r w:rsidRPr="000309E1">
        <w:rPr>
          <w:rFonts w:ascii="Arial" w:hAnsi="Arial" w:cs="Arial"/>
        </w:rPr>
        <w:t>Denominación y ubicación geop</w:t>
      </w:r>
      <w:r w:rsidR="00536B88" w:rsidRPr="000309E1">
        <w:rPr>
          <w:rFonts w:ascii="Arial" w:hAnsi="Arial" w:cs="Arial"/>
        </w:rPr>
        <w:t xml:space="preserve">olítica </w:t>
      </w:r>
      <w:r w:rsidR="005A4B72">
        <w:rPr>
          <w:rFonts w:ascii="Arial" w:hAnsi="Arial" w:cs="Arial"/>
        </w:rPr>
        <w:t xml:space="preserve">y catastral </w:t>
      </w:r>
      <w:r w:rsidR="00536B88" w:rsidRPr="000309E1">
        <w:rPr>
          <w:rFonts w:ascii="Arial" w:hAnsi="Arial" w:cs="Arial"/>
        </w:rPr>
        <w:t>de la concesión minera</w:t>
      </w:r>
      <w:r w:rsidR="005A4B72">
        <w:rPr>
          <w:rFonts w:ascii="Arial" w:hAnsi="Arial" w:cs="Arial"/>
        </w:rPr>
        <w:t xml:space="preserve"> y del proyecto de exploración</w:t>
      </w:r>
      <w:r w:rsidR="00536B88" w:rsidRPr="000309E1">
        <w:rPr>
          <w:rFonts w:ascii="Arial" w:hAnsi="Arial" w:cs="Arial"/>
        </w:rPr>
        <w:t>.</w:t>
      </w:r>
    </w:p>
    <w:p w:rsidR="00A515FC" w:rsidRDefault="00C84CA6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 xml:space="preserve">2. </w:t>
      </w:r>
      <w:r w:rsidRPr="000309E1">
        <w:rPr>
          <w:rFonts w:ascii="Arial" w:hAnsi="Arial" w:cs="Arial"/>
        </w:rPr>
        <w:tab/>
      </w:r>
      <w:r w:rsidR="00845520">
        <w:rPr>
          <w:rFonts w:ascii="Arial" w:hAnsi="Arial" w:cs="Arial"/>
        </w:rPr>
        <w:t xml:space="preserve">Perforación realizada: </w:t>
      </w:r>
      <w:r w:rsidR="0031707E">
        <w:rPr>
          <w:rFonts w:ascii="Arial" w:hAnsi="Arial" w:cs="Arial"/>
        </w:rPr>
        <w:t>Datos de u</w:t>
      </w:r>
      <w:r w:rsidRPr="000309E1">
        <w:rPr>
          <w:rFonts w:ascii="Arial" w:hAnsi="Arial" w:cs="Arial"/>
        </w:rPr>
        <w:t>bicación física del sondaje de perforación</w:t>
      </w:r>
      <w:r w:rsidR="00354520">
        <w:rPr>
          <w:rFonts w:ascii="Arial" w:hAnsi="Arial" w:cs="Arial"/>
        </w:rPr>
        <w:t xml:space="preserve"> o </w:t>
      </w:r>
      <w:r w:rsidR="00074698">
        <w:rPr>
          <w:rFonts w:ascii="Arial" w:hAnsi="Arial" w:cs="Arial"/>
        </w:rPr>
        <w:t>de la toma de muestra, según el caso</w:t>
      </w:r>
      <w:r w:rsidRPr="000309E1">
        <w:rPr>
          <w:rFonts w:ascii="Arial" w:hAnsi="Arial" w:cs="Arial"/>
        </w:rPr>
        <w:t xml:space="preserve">: lugar, paraje, distrito, provincia, departamento, coordenadas UTM, indicando </w:t>
      </w:r>
      <w:proofErr w:type="spellStart"/>
      <w:r w:rsidRPr="000309E1">
        <w:rPr>
          <w:rFonts w:ascii="Arial" w:hAnsi="Arial" w:cs="Arial"/>
        </w:rPr>
        <w:t>Datum</w:t>
      </w:r>
      <w:proofErr w:type="spellEnd"/>
      <w:r w:rsidRPr="000309E1">
        <w:rPr>
          <w:rFonts w:ascii="Arial" w:hAnsi="Arial" w:cs="Arial"/>
        </w:rPr>
        <w:t xml:space="preserve"> y se</w:t>
      </w:r>
      <w:r w:rsidR="00536B88" w:rsidRPr="000309E1">
        <w:rPr>
          <w:rFonts w:ascii="Arial" w:hAnsi="Arial" w:cs="Arial"/>
        </w:rPr>
        <w:t>ñalando su rumbo</w:t>
      </w:r>
      <w:r w:rsidR="00D2772D">
        <w:rPr>
          <w:rFonts w:ascii="Arial" w:hAnsi="Arial" w:cs="Arial"/>
        </w:rPr>
        <w:t>,</w:t>
      </w:r>
      <w:r w:rsidR="00536B88" w:rsidRPr="000309E1">
        <w:rPr>
          <w:rFonts w:ascii="Arial" w:hAnsi="Arial" w:cs="Arial"/>
        </w:rPr>
        <w:t xml:space="preserve"> inclinación</w:t>
      </w:r>
      <w:r w:rsidR="00D2772D">
        <w:rPr>
          <w:rFonts w:ascii="Arial" w:hAnsi="Arial" w:cs="Arial"/>
        </w:rPr>
        <w:t>,</w:t>
      </w:r>
      <w:r w:rsidR="00845520">
        <w:rPr>
          <w:rFonts w:ascii="Arial" w:hAnsi="Arial" w:cs="Arial"/>
        </w:rPr>
        <w:t xml:space="preserve"> profundidad, diámetro </w:t>
      </w:r>
      <w:r w:rsidR="009E0602">
        <w:rPr>
          <w:rFonts w:ascii="Arial" w:hAnsi="Arial" w:cs="Arial"/>
        </w:rPr>
        <w:t>y método de perforación (diamantina o RCD)</w:t>
      </w:r>
      <w:r w:rsidR="00A515FC">
        <w:rPr>
          <w:rFonts w:ascii="Arial" w:hAnsi="Arial" w:cs="Arial"/>
        </w:rPr>
        <w:t>.</w:t>
      </w:r>
    </w:p>
    <w:p w:rsidR="008B783B" w:rsidRDefault="00A515FC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0FC7">
        <w:rPr>
          <w:rFonts w:ascii="Arial" w:hAnsi="Arial" w:cs="Arial"/>
        </w:rPr>
        <w:t>.</w:t>
      </w:r>
      <w:r w:rsidR="00720FC7">
        <w:rPr>
          <w:rFonts w:ascii="Arial" w:hAnsi="Arial" w:cs="Arial"/>
        </w:rPr>
        <w:tab/>
        <w:t>G</w:t>
      </w:r>
      <w:r w:rsidR="00720FC7" w:rsidRPr="001D7F12">
        <w:rPr>
          <w:rFonts w:ascii="Arial" w:hAnsi="Arial" w:cs="Arial"/>
        </w:rPr>
        <w:t>eol</w:t>
      </w:r>
      <w:r w:rsidR="00720FC7">
        <w:rPr>
          <w:rFonts w:ascii="Arial" w:hAnsi="Arial" w:cs="Arial"/>
        </w:rPr>
        <w:t xml:space="preserve">ogía de superficie: </w:t>
      </w:r>
      <w:r w:rsidR="002F6F58">
        <w:rPr>
          <w:rFonts w:ascii="Arial" w:hAnsi="Arial" w:cs="Arial"/>
        </w:rPr>
        <w:t>Datos</w:t>
      </w:r>
      <w:r w:rsidR="00C81B67">
        <w:rPr>
          <w:rFonts w:ascii="Arial" w:hAnsi="Arial" w:cs="Arial"/>
        </w:rPr>
        <w:t xml:space="preserve"> referidos a </w:t>
      </w:r>
      <w:r w:rsidR="0070600A" w:rsidRPr="0070600A">
        <w:rPr>
          <w:rFonts w:ascii="Arial" w:hAnsi="Arial" w:cs="Arial"/>
        </w:rPr>
        <w:t>observaciones geológicas, especialmente tipo de roca, alteración, mineralogía, dataciones, regolit</w:t>
      </w:r>
      <w:r w:rsidR="002F6F58">
        <w:rPr>
          <w:rFonts w:ascii="Arial" w:hAnsi="Arial" w:cs="Arial"/>
        </w:rPr>
        <w:t>o</w:t>
      </w:r>
      <w:r w:rsidR="0070600A" w:rsidRPr="0070600A">
        <w:rPr>
          <w:rFonts w:ascii="Arial" w:hAnsi="Arial" w:cs="Arial"/>
        </w:rPr>
        <w:t>, y observaciones de vetas o cuerpos, estructura, entre otros.</w:t>
      </w:r>
    </w:p>
    <w:p w:rsidR="00DD5426" w:rsidRDefault="00AD574E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B783B">
        <w:rPr>
          <w:rFonts w:ascii="Arial" w:hAnsi="Arial" w:cs="Arial"/>
        </w:rPr>
        <w:t xml:space="preserve">. </w:t>
      </w:r>
      <w:r w:rsidR="00E136CB">
        <w:rPr>
          <w:rFonts w:ascii="Arial" w:hAnsi="Arial" w:cs="Arial"/>
        </w:rPr>
        <w:tab/>
      </w:r>
      <w:r w:rsidR="002F6F58">
        <w:rPr>
          <w:rFonts w:ascii="Arial" w:hAnsi="Arial" w:cs="Arial"/>
        </w:rPr>
        <w:t>G</w:t>
      </w:r>
      <w:r w:rsidR="001D7F12" w:rsidRPr="001D7F12">
        <w:rPr>
          <w:rFonts w:ascii="Arial" w:hAnsi="Arial" w:cs="Arial"/>
        </w:rPr>
        <w:t>eoquímic</w:t>
      </w:r>
      <w:r w:rsidR="005D3E23">
        <w:rPr>
          <w:rFonts w:ascii="Arial" w:hAnsi="Arial" w:cs="Arial"/>
        </w:rPr>
        <w:t>a</w:t>
      </w:r>
      <w:r w:rsidR="008B783B">
        <w:rPr>
          <w:rFonts w:ascii="Arial" w:hAnsi="Arial" w:cs="Arial"/>
        </w:rPr>
        <w:t xml:space="preserve"> de superficie: </w:t>
      </w:r>
      <w:r w:rsidR="008B783B" w:rsidRPr="008B783B">
        <w:rPr>
          <w:rFonts w:ascii="Arial" w:hAnsi="Arial" w:cs="Arial"/>
        </w:rPr>
        <w:t xml:space="preserve">Datos de análisis </w:t>
      </w:r>
      <w:r w:rsidR="002F6F58">
        <w:rPr>
          <w:rFonts w:ascii="Arial" w:hAnsi="Arial" w:cs="Arial"/>
        </w:rPr>
        <w:t xml:space="preserve">geoquímico </w:t>
      </w:r>
      <w:r w:rsidR="008B783B" w:rsidRPr="008B783B">
        <w:rPr>
          <w:rFonts w:ascii="Arial" w:hAnsi="Arial" w:cs="Arial"/>
        </w:rPr>
        <w:t>de sedimentos</w:t>
      </w:r>
      <w:r w:rsidR="008B783B">
        <w:rPr>
          <w:rFonts w:ascii="Arial" w:hAnsi="Arial" w:cs="Arial"/>
        </w:rPr>
        <w:t>.</w:t>
      </w:r>
    </w:p>
    <w:p w:rsidR="001D7F12" w:rsidRDefault="009E3451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136CB">
        <w:rPr>
          <w:rFonts w:ascii="Arial" w:hAnsi="Arial" w:cs="Arial"/>
        </w:rPr>
        <w:t>.</w:t>
      </w:r>
      <w:r w:rsidR="001D7F12" w:rsidRPr="001D7F12">
        <w:rPr>
          <w:rFonts w:ascii="Arial" w:hAnsi="Arial" w:cs="Arial"/>
        </w:rPr>
        <w:t xml:space="preserve"> </w:t>
      </w:r>
      <w:r w:rsidR="00471291">
        <w:rPr>
          <w:rFonts w:ascii="Arial" w:hAnsi="Arial" w:cs="Arial"/>
        </w:rPr>
        <w:tab/>
        <w:t xml:space="preserve">Vetas </w:t>
      </w:r>
      <w:proofErr w:type="spellStart"/>
      <w:r w:rsidR="00471291">
        <w:rPr>
          <w:rFonts w:ascii="Arial" w:hAnsi="Arial" w:cs="Arial"/>
        </w:rPr>
        <w:t>aflorantes</w:t>
      </w:r>
      <w:proofErr w:type="spellEnd"/>
      <w:r w:rsidR="00F82039">
        <w:rPr>
          <w:rFonts w:ascii="Arial" w:hAnsi="Arial" w:cs="Arial"/>
        </w:rPr>
        <w:t>:</w:t>
      </w:r>
      <w:r w:rsidR="00471291">
        <w:rPr>
          <w:rFonts w:ascii="Arial" w:hAnsi="Arial" w:cs="Arial"/>
        </w:rPr>
        <w:t xml:space="preserve"> datos de orientación, tamaño y mineralogía de vetas</w:t>
      </w:r>
      <w:r w:rsidR="00F82039">
        <w:rPr>
          <w:rFonts w:ascii="Arial" w:hAnsi="Arial" w:cs="Arial"/>
        </w:rPr>
        <w:t xml:space="preserve">. </w:t>
      </w:r>
    </w:p>
    <w:p w:rsidR="001D7F12" w:rsidRDefault="009E3451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2039">
        <w:rPr>
          <w:rFonts w:ascii="Arial" w:hAnsi="Arial" w:cs="Arial"/>
        </w:rPr>
        <w:t xml:space="preserve">. </w:t>
      </w:r>
      <w:r w:rsidR="00F82039">
        <w:rPr>
          <w:rFonts w:ascii="Arial" w:hAnsi="Arial" w:cs="Arial"/>
        </w:rPr>
        <w:tab/>
      </w:r>
      <w:r w:rsidR="001D7F12" w:rsidRPr="001D7F12">
        <w:rPr>
          <w:rFonts w:ascii="Arial" w:hAnsi="Arial" w:cs="Arial"/>
        </w:rPr>
        <w:t>Ubicación física actualizada del  archivo físico de testigos de perforación.</w:t>
      </w:r>
    </w:p>
    <w:p w:rsidR="00C81B67" w:rsidRDefault="00C81B67" w:rsidP="00C81B67">
      <w:pPr>
        <w:spacing w:after="0" w:line="240" w:lineRule="auto"/>
        <w:ind w:left="2552" w:hanging="425"/>
        <w:jc w:val="both"/>
        <w:rPr>
          <w:rFonts w:ascii="Arial" w:hAnsi="Arial" w:cs="Arial"/>
        </w:rPr>
      </w:pPr>
    </w:p>
    <w:p w:rsidR="00EF0BDE" w:rsidRDefault="00A515FC" w:rsidP="00C81B67">
      <w:pPr>
        <w:spacing w:after="0" w:line="240" w:lineRule="auto"/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71.</w:t>
      </w:r>
      <w:r w:rsidR="007315BE">
        <w:rPr>
          <w:rFonts w:ascii="Arial" w:hAnsi="Arial" w:cs="Arial"/>
        </w:rPr>
        <w:t xml:space="preserve">3 </w:t>
      </w:r>
      <w:r w:rsidR="0035447F">
        <w:rPr>
          <w:rFonts w:ascii="Arial" w:hAnsi="Arial" w:cs="Arial"/>
        </w:rPr>
        <w:tab/>
      </w:r>
      <w:r w:rsidR="000D679C" w:rsidRPr="00A524CB">
        <w:rPr>
          <w:rFonts w:ascii="Arial" w:hAnsi="Arial" w:cs="Arial"/>
        </w:rPr>
        <w:t xml:space="preserve">El titular de la actividad minera </w:t>
      </w:r>
      <w:r w:rsidR="007E75D1">
        <w:rPr>
          <w:rFonts w:ascii="Arial" w:hAnsi="Arial" w:cs="Arial"/>
        </w:rPr>
        <w:t>antes mencionado</w:t>
      </w:r>
      <w:r w:rsidR="000D679C">
        <w:rPr>
          <w:rFonts w:ascii="Arial" w:hAnsi="Arial" w:cs="Arial"/>
        </w:rPr>
        <w:t xml:space="preserve"> </w:t>
      </w:r>
      <w:r w:rsidR="000D679C" w:rsidRPr="00A524CB">
        <w:rPr>
          <w:rFonts w:ascii="Arial" w:hAnsi="Arial" w:cs="Arial"/>
        </w:rPr>
        <w:t xml:space="preserve">debe poner en conocimiento del Ministerio de Energía y Minas, la </w:t>
      </w:r>
      <w:r w:rsidR="000D679C" w:rsidRPr="00A524CB">
        <w:rPr>
          <w:rFonts w:ascii="Arial" w:hAnsi="Arial" w:cs="Arial"/>
        </w:rPr>
        <w:lastRenderedPageBreak/>
        <w:t>información ref</w:t>
      </w:r>
      <w:r w:rsidR="007E75D1">
        <w:rPr>
          <w:rFonts w:ascii="Arial" w:hAnsi="Arial" w:cs="Arial"/>
        </w:rPr>
        <w:t>erida en</w:t>
      </w:r>
      <w:r w:rsidR="000D679C" w:rsidRPr="00A524CB">
        <w:rPr>
          <w:rFonts w:ascii="Arial" w:hAnsi="Arial" w:cs="Arial"/>
        </w:rPr>
        <w:t xml:space="preserve"> el numeral 71.2</w:t>
      </w:r>
      <w:r w:rsidR="000D679C">
        <w:rPr>
          <w:rFonts w:ascii="Arial" w:hAnsi="Arial" w:cs="Arial"/>
        </w:rPr>
        <w:t xml:space="preserve">, </w:t>
      </w:r>
      <w:r w:rsidR="007E75D1">
        <w:rPr>
          <w:rFonts w:ascii="Arial" w:hAnsi="Arial" w:cs="Arial"/>
        </w:rPr>
        <w:t xml:space="preserve">a través del formato que se apruebe </w:t>
      </w:r>
      <w:r w:rsidR="00AD574E">
        <w:rPr>
          <w:rFonts w:ascii="Arial" w:hAnsi="Arial" w:cs="Arial"/>
        </w:rPr>
        <w:t>por Resolución Directoral de la Dirección General de Minería</w:t>
      </w:r>
      <w:r w:rsidR="000D679C">
        <w:rPr>
          <w:rFonts w:ascii="Arial" w:hAnsi="Arial" w:cs="Arial"/>
        </w:rPr>
        <w:t xml:space="preserve">. La información </w:t>
      </w:r>
      <w:r w:rsidR="000D679C" w:rsidRPr="00A524CB">
        <w:rPr>
          <w:rFonts w:ascii="Arial" w:hAnsi="Arial" w:cs="Arial"/>
        </w:rPr>
        <w:t xml:space="preserve"> indicada tendrá el carácter de confidencial y será presentada en el mismo plazo y bajo las mismas disposiciones referidas al procedimiento de presentación de la Declaración Anual Consolidada (DAC), aplicándose las sanciones por su incumplimiento.</w:t>
      </w:r>
    </w:p>
    <w:p w:rsidR="00C81B67" w:rsidRDefault="00C81B67" w:rsidP="00C81B67">
      <w:pPr>
        <w:spacing w:after="0" w:line="240" w:lineRule="auto"/>
        <w:ind w:left="2127" w:hanging="709"/>
        <w:jc w:val="both"/>
        <w:rPr>
          <w:rFonts w:ascii="Arial" w:hAnsi="Arial" w:cs="Arial"/>
        </w:rPr>
      </w:pPr>
    </w:p>
    <w:p w:rsidR="00A72914" w:rsidRPr="00336E13" w:rsidRDefault="00A72914" w:rsidP="00C81B67">
      <w:pPr>
        <w:spacing w:after="0" w:line="240" w:lineRule="auto"/>
        <w:ind w:left="2127" w:hanging="709"/>
        <w:jc w:val="both"/>
        <w:rPr>
          <w:rFonts w:ascii="Arial" w:hAnsi="Arial" w:cs="Arial"/>
        </w:rPr>
      </w:pPr>
      <w:r w:rsidRPr="00A72914">
        <w:rPr>
          <w:rFonts w:ascii="Arial" w:hAnsi="Arial" w:cs="Arial"/>
        </w:rPr>
        <w:t>71.4.</w:t>
      </w:r>
      <w:r w:rsidRPr="00A72914">
        <w:rPr>
          <w:rFonts w:ascii="Arial" w:hAnsi="Arial" w:cs="Arial"/>
        </w:rPr>
        <w:tab/>
      </w:r>
      <w:r w:rsidR="000421A8" w:rsidRPr="000421A8">
        <w:rPr>
          <w:rFonts w:ascii="Arial" w:hAnsi="Arial" w:cs="Arial"/>
        </w:rPr>
        <w:t>Para fines de implementar un Sistema de Información Geológico Minero Nacional y enriquecer la Carta Geológica Nacional, el titular de la actividad minera</w:t>
      </w:r>
      <w:r w:rsidR="00445D9B">
        <w:rPr>
          <w:rFonts w:ascii="Arial" w:hAnsi="Arial" w:cs="Arial"/>
        </w:rPr>
        <w:t xml:space="preserve"> a que se refiere el numeral 71.1</w:t>
      </w:r>
      <w:r w:rsidR="00FA400E">
        <w:rPr>
          <w:rFonts w:ascii="Arial" w:hAnsi="Arial" w:cs="Arial"/>
        </w:rPr>
        <w:t>,</w:t>
      </w:r>
      <w:r w:rsidR="000421A8" w:rsidRPr="000421A8">
        <w:rPr>
          <w:rFonts w:ascii="Arial" w:hAnsi="Arial" w:cs="Arial"/>
        </w:rPr>
        <w:t xml:space="preserve"> debe poner a disposición del Instituto Geológico, Minero y Metalúrgico – INGEMMET, respecto a sus conce</w:t>
      </w:r>
      <w:r w:rsidR="00A21C07">
        <w:rPr>
          <w:rFonts w:ascii="Arial" w:hAnsi="Arial" w:cs="Arial"/>
        </w:rPr>
        <w:t xml:space="preserve">siones mineras que se extingan y </w:t>
      </w:r>
      <w:r w:rsidR="00A70E24" w:rsidRPr="00A70E24">
        <w:rPr>
          <w:rFonts w:ascii="Arial" w:hAnsi="Arial" w:cs="Arial"/>
        </w:rPr>
        <w:t>dentro del año siguiente </w:t>
      </w:r>
      <w:r w:rsidR="00A11F39">
        <w:rPr>
          <w:rFonts w:ascii="Arial" w:hAnsi="Arial" w:cs="Arial"/>
        </w:rPr>
        <w:t xml:space="preserve"> </w:t>
      </w:r>
      <w:r w:rsidR="00A70E24" w:rsidRPr="00A70E24">
        <w:rPr>
          <w:rFonts w:ascii="Arial" w:hAnsi="Arial" w:cs="Arial"/>
        </w:rPr>
        <w:t>al</w:t>
      </w:r>
      <w:r w:rsidR="00A70E24">
        <w:rPr>
          <w:rFonts w:ascii="Arial" w:hAnsi="Arial" w:cs="Arial"/>
        </w:rPr>
        <w:t xml:space="preserve"> de la fecha en</w:t>
      </w:r>
      <w:r w:rsidR="00A70E24" w:rsidRPr="00A70E24">
        <w:rPr>
          <w:rFonts w:ascii="Arial" w:hAnsi="Arial" w:cs="Arial"/>
        </w:rPr>
        <w:t xml:space="preserve"> que la resolución que apruebe la extinción de la concesión o concesiones mineras haya quedado consentida o ejecutoriada</w:t>
      </w:r>
      <w:r w:rsidR="000421A8" w:rsidRPr="000421A8">
        <w:rPr>
          <w:rFonts w:ascii="Arial" w:hAnsi="Arial" w:cs="Arial"/>
        </w:rPr>
        <w:t>, toda la información de muestreos y/o testigos realizada en la concesión minera a que se refiere el numeral 71.2., incluyendo mineralización y leyes por tramos de la perforación,</w:t>
      </w:r>
      <w:r w:rsidR="007D37B1">
        <w:rPr>
          <w:rFonts w:ascii="Arial" w:hAnsi="Arial" w:cs="Arial"/>
        </w:rPr>
        <w:t xml:space="preserve"> información geoquímica superficial de rocas, </w:t>
      </w:r>
      <w:r w:rsidR="007D37B1" w:rsidRPr="00AA5E25">
        <w:rPr>
          <w:rFonts w:ascii="Arial" w:hAnsi="Arial" w:cs="Arial"/>
        </w:rPr>
        <w:t xml:space="preserve">suelos, estudios técnicos geológicos, </w:t>
      </w:r>
      <w:r w:rsidR="009C6B7B" w:rsidRPr="00AA5E25">
        <w:rPr>
          <w:rFonts w:ascii="Arial" w:hAnsi="Arial" w:cs="Arial"/>
        </w:rPr>
        <w:t>g</w:t>
      </w:r>
      <w:r w:rsidR="007D37B1" w:rsidRPr="00AA5E25">
        <w:rPr>
          <w:rFonts w:ascii="Arial" w:hAnsi="Arial" w:cs="Arial"/>
        </w:rPr>
        <w:t xml:space="preserve">eoquímicos, geofísicos, hidrogeológicos, </w:t>
      </w:r>
      <w:proofErr w:type="spellStart"/>
      <w:r w:rsidR="007D37B1" w:rsidRPr="00AA5E25">
        <w:rPr>
          <w:rFonts w:ascii="Arial" w:hAnsi="Arial" w:cs="Arial"/>
        </w:rPr>
        <w:t>geoambientales</w:t>
      </w:r>
      <w:proofErr w:type="spellEnd"/>
      <w:r w:rsidR="007D37B1" w:rsidRPr="00AA5E25">
        <w:rPr>
          <w:rFonts w:ascii="Arial" w:hAnsi="Arial" w:cs="Arial"/>
        </w:rPr>
        <w:t xml:space="preserve"> y otros </w:t>
      </w:r>
      <w:r w:rsidR="000421A8" w:rsidRPr="00AA5E25">
        <w:rPr>
          <w:rFonts w:ascii="Arial" w:hAnsi="Arial" w:cs="Arial"/>
        </w:rPr>
        <w:t xml:space="preserve">realizados en el marco de las actividades de exploración. </w:t>
      </w:r>
      <w:r w:rsidRPr="00AA5E25">
        <w:rPr>
          <w:rFonts w:ascii="Arial" w:hAnsi="Arial" w:cs="Arial"/>
        </w:rPr>
        <w:t xml:space="preserve">La comunicación se hará en </w:t>
      </w:r>
      <w:r w:rsidR="00DC34EB" w:rsidRPr="00AA5E25">
        <w:rPr>
          <w:rFonts w:ascii="Arial" w:hAnsi="Arial" w:cs="Arial"/>
        </w:rPr>
        <w:t xml:space="preserve">el </w:t>
      </w:r>
      <w:r w:rsidRPr="00AA5E25">
        <w:rPr>
          <w:rFonts w:ascii="Arial" w:hAnsi="Arial" w:cs="Arial"/>
        </w:rPr>
        <w:t>formato</w:t>
      </w:r>
      <w:r w:rsidR="000421A8" w:rsidRPr="00AA5E25">
        <w:rPr>
          <w:rFonts w:ascii="Arial" w:hAnsi="Arial" w:cs="Arial"/>
        </w:rPr>
        <w:t xml:space="preserve"> que se apruebe para tal fin</w:t>
      </w:r>
      <w:r w:rsidR="000421A8">
        <w:rPr>
          <w:rFonts w:ascii="Arial" w:hAnsi="Arial" w:cs="Arial"/>
        </w:rPr>
        <w:t>, mediante Resolución</w:t>
      </w:r>
      <w:r w:rsidR="00521499">
        <w:rPr>
          <w:rFonts w:ascii="Arial" w:hAnsi="Arial" w:cs="Arial"/>
        </w:rPr>
        <w:t xml:space="preserve"> </w:t>
      </w:r>
      <w:r w:rsidR="00BB1708">
        <w:rPr>
          <w:rFonts w:ascii="Arial" w:hAnsi="Arial" w:cs="Arial"/>
        </w:rPr>
        <w:t>Directoral de la Dirección General de Minería</w:t>
      </w:r>
      <w:r w:rsidR="00521499">
        <w:rPr>
          <w:rFonts w:ascii="Arial" w:hAnsi="Arial" w:cs="Arial"/>
        </w:rPr>
        <w:t>.</w:t>
      </w:r>
      <w:r w:rsidR="007E75D1">
        <w:rPr>
          <w:rFonts w:ascii="Arial" w:hAnsi="Arial" w:cs="Arial"/>
        </w:rPr>
        <w:t>”</w:t>
      </w: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:rsidR="00DE4437" w:rsidRPr="000309E1" w:rsidRDefault="00792080" w:rsidP="00C81B6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C5E74">
        <w:rPr>
          <w:rFonts w:ascii="Arial" w:hAnsi="Arial" w:cs="Arial"/>
          <w:b/>
          <w:u w:val="single"/>
        </w:rPr>
        <w:t>Artículo 2</w:t>
      </w:r>
      <w:r>
        <w:rPr>
          <w:rFonts w:ascii="Arial" w:hAnsi="Arial" w:cs="Arial"/>
          <w:b/>
        </w:rPr>
        <w:t>.- Refrendo</w:t>
      </w:r>
    </w:p>
    <w:p w:rsidR="00C81B67" w:rsidRDefault="00DE4437" w:rsidP="00C81B67">
      <w:pPr>
        <w:spacing w:after="0" w:line="240" w:lineRule="auto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ab/>
        <w:t xml:space="preserve">El presente decreto supremo será refrendado por </w:t>
      </w:r>
      <w:r w:rsidR="00BB7706">
        <w:rPr>
          <w:rFonts w:ascii="Arial" w:hAnsi="Arial" w:cs="Arial"/>
        </w:rPr>
        <w:t>el Ministro de Energía y Minas.</w:t>
      </w:r>
    </w:p>
    <w:p w:rsidR="00C81B67" w:rsidRDefault="00C81B67" w:rsidP="00C81B67">
      <w:pPr>
        <w:spacing w:after="0" w:line="240" w:lineRule="auto"/>
        <w:jc w:val="both"/>
        <w:rPr>
          <w:rFonts w:ascii="Arial" w:hAnsi="Arial" w:cs="Arial"/>
        </w:rPr>
      </w:pPr>
    </w:p>
    <w:p w:rsidR="00DE4437" w:rsidRDefault="00F82039" w:rsidP="00C81B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</w:t>
      </w:r>
      <w:r w:rsidR="00DE4437" w:rsidRPr="000309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DEROGATORIA</w:t>
      </w:r>
    </w:p>
    <w:p w:rsidR="00C81B67" w:rsidRDefault="00C81B67" w:rsidP="00C81B67">
      <w:pPr>
        <w:spacing w:after="0" w:line="240" w:lineRule="auto"/>
        <w:jc w:val="center"/>
        <w:rPr>
          <w:rFonts w:ascii="Arial" w:hAnsi="Arial" w:cs="Arial"/>
          <w:b/>
        </w:rPr>
      </w:pPr>
    </w:p>
    <w:p w:rsidR="007400F9" w:rsidRDefault="006C5E74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4AD7">
        <w:rPr>
          <w:rFonts w:ascii="Arial" w:hAnsi="Arial" w:cs="Arial"/>
          <w:b/>
          <w:u w:val="single"/>
        </w:rPr>
        <w:t>Única</w:t>
      </w:r>
      <w:r w:rsidR="008A60CC" w:rsidRPr="007400F9">
        <w:rPr>
          <w:rFonts w:ascii="Arial" w:hAnsi="Arial" w:cs="Arial"/>
          <w:b/>
        </w:rPr>
        <w:t>.-</w:t>
      </w:r>
      <w:r w:rsidR="008A60CC">
        <w:rPr>
          <w:rFonts w:ascii="Arial" w:hAnsi="Arial" w:cs="Arial"/>
        </w:rPr>
        <w:t xml:space="preserve"> </w:t>
      </w:r>
      <w:r w:rsidR="009C6B7B">
        <w:rPr>
          <w:rFonts w:ascii="Arial" w:hAnsi="Arial" w:cs="Arial"/>
        </w:rPr>
        <w:t>Deróguese el Decreto Supremo N° 010-2013-EM</w:t>
      </w:r>
      <w:r>
        <w:rPr>
          <w:rFonts w:ascii="Arial" w:hAnsi="Arial" w:cs="Arial"/>
        </w:rPr>
        <w:t xml:space="preserve"> y </w:t>
      </w:r>
      <w:r w:rsidR="00AA5E25">
        <w:rPr>
          <w:rFonts w:ascii="Arial" w:hAnsi="Arial" w:cs="Arial"/>
        </w:rPr>
        <w:t>toda disposición que se oponga a lo dispuesto en la presente norma.</w:t>
      </w:r>
    </w:p>
    <w:p w:rsidR="00C81B67" w:rsidRDefault="00C81B67" w:rsidP="00C81B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E6AFE" w:rsidRPr="000309E1" w:rsidRDefault="00DE4437" w:rsidP="00C81B67">
      <w:pPr>
        <w:spacing w:after="0" w:line="240" w:lineRule="auto"/>
        <w:jc w:val="both"/>
        <w:rPr>
          <w:rFonts w:ascii="Arial" w:hAnsi="Arial" w:cs="Arial"/>
        </w:rPr>
      </w:pPr>
      <w:r w:rsidRPr="000309E1">
        <w:rPr>
          <w:rFonts w:ascii="Arial" w:hAnsi="Arial" w:cs="Arial"/>
        </w:rPr>
        <w:tab/>
        <w:t xml:space="preserve">Dado en la Casa de Gobierno, en Lima, a los </w:t>
      </w:r>
    </w:p>
    <w:sectPr w:rsidR="00DE6AFE" w:rsidRPr="000309E1" w:rsidSect="00A4471B">
      <w:pgSz w:w="11907" w:h="16839" w:code="9"/>
      <w:pgMar w:top="3261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37"/>
    <w:rsid w:val="000243FB"/>
    <w:rsid w:val="00025D43"/>
    <w:rsid w:val="000309E1"/>
    <w:rsid w:val="00030CEF"/>
    <w:rsid w:val="00033D3B"/>
    <w:rsid w:val="000421A8"/>
    <w:rsid w:val="00044E3E"/>
    <w:rsid w:val="00074698"/>
    <w:rsid w:val="00090CB3"/>
    <w:rsid w:val="000A468A"/>
    <w:rsid w:val="000A5CA3"/>
    <w:rsid w:val="000D2085"/>
    <w:rsid w:val="000D679C"/>
    <w:rsid w:val="000E2D2F"/>
    <w:rsid w:val="001270F6"/>
    <w:rsid w:val="00191EFE"/>
    <w:rsid w:val="001D1FDE"/>
    <w:rsid w:val="001D7F12"/>
    <w:rsid w:val="002177D7"/>
    <w:rsid w:val="00251122"/>
    <w:rsid w:val="002657B5"/>
    <w:rsid w:val="0027087F"/>
    <w:rsid w:val="00270F3B"/>
    <w:rsid w:val="002C5255"/>
    <w:rsid w:val="002E07EF"/>
    <w:rsid w:val="002F6F58"/>
    <w:rsid w:val="00304AD7"/>
    <w:rsid w:val="0031707E"/>
    <w:rsid w:val="00336E13"/>
    <w:rsid w:val="00352AEB"/>
    <w:rsid w:val="0035447F"/>
    <w:rsid w:val="00354520"/>
    <w:rsid w:val="00365A43"/>
    <w:rsid w:val="0039765E"/>
    <w:rsid w:val="003A24D4"/>
    <w:rsid w:val="003B580D"/>
    <w:rsid w:val="003F59C4"/>
    <w:rsid w:val="00401151"/>
    <w:rsid w:val="00424318"/>
    <w:rsid w:val="00432E65"/>
    <w:rsid w:val="00445D9B"/>
    <w:rsid w:val="004470C9"/>
    <w:rsid w:val="00451F5F"/>
    <w:rsid w:val="00452567"/>
    <w:rsid w:val="00471291"/>
    <w:rsid w:val="00477351"/>
    <w:rsid w:val="00495355"/>
    <w:rsid w:val="004969A0"/>
    <w:rsid w:val="004E7C90"/>
    <w:rsid w:val="0050756D"/>
    <w:rsid w:val="00516E55"/>
    <w:rsid w:val="00521499"/>
    <w:rsid w:val="00536B88"/>
    <w:rsid w:val="005619D6"/>
    <w:rsid w:val="005A4B72"/>
    <w:rsid w:val="005C264A"/>
    <w:rsid w:val="005D3E23"/>
    <w:rsid w:val="005E0084"/>
    <w:rsid w:val="00660BCB"/>
    <w:rsid w:val="00662AE9"/>
    <w:rsid w:val="00673143"/>
    <w:rsid w:val="006773DD"/>
    <w:rsid w:val="00682392"/>
    <w:rsid w:val="00684D0F"/>
    <w:rsid w:val="00697B1D"/>
    <w:rsid w:val="006B2BBB"/>
    <w:rsid w:val="006C5949"/>
    <w:rsid w:val="006C5E74"/>
    <w:rsid w:val="006F5586"/>
    <w:rsid w:val="0070600A"/>
    <w:rsid w:val="007156CE"/>
    <w:rsid w:val="00720FC7"/>
    <w:rsid w:val="00727954"/>
    <w:rsid w:val="007301D6"/>
    <w:rsid w:val="007315BE"/>
    <w:rsid w:val="007400F9"/>
    <w:rsid w:val="007524F9"/>
    <w:rsid w:val="0075366C"/>
    <w:rsid w:val="00754233"/>
    <w:rsid w:val="007711E1"/>
    <w:rsid w:val="00792080"/>
    <w:rsid w:val="007A1D22"/>
    <w:rsid w:val="007D37B1"/>
    <w:rsid w:val="007D7217"/>
    <w:rsid w:val="007E3146"/>
    <w:rsid w:val="007E75D1"/>
    <w:rsid w:val="0082432F"/>
    <w:rsid w:val="00835701"/>
    <w:rsid w:val="00842258"/>
    <w:rsid w:val="00845520"/>
    <w:rsid w:val="008A60CC"/>
    <w:rsid w:val="008B6EA3"/>
    <w:rsid w:val="008B783B"/>
    <w:rsid w:val="008C18A0"/>
    <w:rsid w:val="008C3933"/>
    <w:rsid w:val="008C5419"/>
    <w:rsid w:val="008D1366"/>
    <w:rsid w:val="00900EA3"/>
    <w:rsid w:val="00905F24"/>
    <w:rsid w:val="0091348F"/>
    <w:rsid w:val="00915519"/>
    <w:rsid w:val="00962A2A"/>
    <w:rsid w:val="00977B60"/>
    <w:rsid w:val="009903B2"/>
    <w:rsid w:val="00997365"/>
    <w:rsid w:val="009A4C8B"/>
    <w:rsid w:val="009C6B7B"/>
    <w:rsid w:val="009D7AE3"/>
    <w:rsid w:val="009E0602"/>
    <w:rsid w:val="009E3451"/>
    <w:rsid w:val="00A05B2B"/>
    <w:rsid w:val="00A11F39"/>
    <w:rsid w:val="00A20A9D"/>
    <w:rsid w:val="00A21C07"/>
    <w:rsid w:val="00A21F89"/>
    <w:rsid w:val="00A3488C"/>
    <w:rsid w:val="00A4471B"/>
    <w:rsid w:val="00A50D1C"/>
    <w:rsid w:val="00A515FC"/>
    <w:rsid w:val="00A524CB"/>
    <w:rsid w:val="00A64FB3"/>
    <w:rsid w:val="00A6745F"/>
    <w:rsid w:val="00A70E24"/>
    <w:rsid w:val="00A72914"/>
    <w:rsid w:val="00A835BE"/>
    <w:rsid w:val="00AA5E25"/>
    <w:rsid w:val="00AB5841"/>
    <w:rsid w:val="00AD4345"/>
    <w:rsid w:val="00AD574E"/>
    <w:rsid w:val="00AF76AC"/>
    <w:rsid w:val="00B105A5"/>
    <w:rsid w:val="00B2606A"/>
    <w:rsid w:val="00B328F1"/>
    <w:rsid w:val="00B47D69"/>
    <w:rsid w:val="00B568FC"/>
    <w:rsid w:val="00B62A3B"/>
    <w:rsid w:val="00B6357A"/>
    <w:rsid w:val="00B75FB2"/>
    <w:rsid w:val="00B9492A"/>
    <w:rsid w:val="00BB1708"/>
    <w:rsid w:val="00BB7706"/>
    <w:rsid w:val="00BC69F8"/>
    <w:rsid w:val="00BD71C0"/>
    <w:rsid w:val="00BE1F41"/>
    <w:rsid w:val="00C0015B"/>
    <w:rsid w:val="00C254CE"/>
    <w:rsid w:val="00C44B2D"/>
    <w:rsid w:val="00C72997"/>
    <w:rsid w:val="00C81B67"/>
    <w:rsid w:val="00C84CA6"/>
    <w:rsid w:val="00C96400"/>
    <w:rsid w:val="00CB11FC"/>
    <w:rsid w:val="00CC1F0C"/>
    <w:rsid w:val="00CC5EB7"/>
    <w:rsid w:val="00CD62CE"/>
    <w:rsid w:val="00D22BD8"/>
    <w:rsid w:val="00D2772D"/>
    <w:rsid w:val="00D361DC"/>
    <w:rsid w:val="00D40519"/>
    <w:rsid w:val="00D5793D"/>
    <w:rsid w:val="00D90AF2"/>
    <w:rsid w:val="00D91B43"/>
    <w:rsid w:val="00DB131E"/>
    <w:rsid w:val="00DC34EB"/>
    <w:rsid w:val="00DD2A93"/>
    <w:rsid w:val="00DD35B3"/>
    <w:rsid w:val="00DD5426"/>
    <w:rsid w:val="00DD6A24"/>
    <w:rsid w:val="00DE4437"/>
    <w:rsid w:val="00DE6AFE"/>
    <w:rsid w:val="00DF4D30"/>
    <w:rsid w:val="00E136CB"/>
    <w:rsid w:val="00E44577"/>
    <w:rsid w:val="00E47AB0"/>
    <w:rsid w:val="00E856D6"/>
    <w:rsid w:val="00E86517"/>
    <w:rsid w:val="00E87418"/>
    <w:rsid w:val="00E924B0"/>
    <w:rsid w:val="00EA3597"/>
    <w:rsid w:val="00EA4994"/>
    <w:rsid w:val="00EA68FD"/>
    <w:rsid w:val="00EB1D3E"/>
    <w:rsid w:val="00EC7502"/>
    <w:rsid w:val="00EF0BDE"/>
    <w:rsid w:val="00EF4BD0"/>
    <w:rsid w:val="00F04B17"/>
    <w:rsid w:val="00F12E0D"/>
    <w:rsid w:val="00F6790F"/>
    <w:rsid w:val="00F82039"/>
    <w:rsid w:val="00F84AFA"/>
    <w:rsid w:val="00FA400E"/>
    <w:rsid w:val="00FB3048"/>
    <w:rsid w:val="00FE1AAE"/>
    <w:rsid w:val="00FE5CF2"/>
    <w:rsid w:val="00FE6BE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1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3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1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5353-5F1C-4709-984D-C6C0068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Newmont Mining Corporation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 Bonifaz Martha</dc:creator>
  <cp:lastModifiedBy>Vasquez Bonifaz Martha</cp:lastModifiedBy>
  <cp:revision>2</cp:revision>
  <cp:lastPrinted>2014-11-18T21:36:00Z</cp:lastPrinted>
  <dcterms:created xsi:type="dcterms:W3CDTF">2014-11-26T15:25:00Z</dcterms:created>
  <dcterms:modified xsi:type="dcterms:W3CDTF">2014-11-26T15:25:00Z</dcterms:modified>
</cp:coreProperties>
</file>